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6BB" w:rsidRPr="00CF296C" w:rsidRDefault="009946BB" w:rsidP="009946BB">
      <w:pPr>
        <w:pStyle w:val="ConsPlusNormal"/>
        <w:ind w:right="-1" w:firstLine="540"/>
        <w:jc w:val="both"/>
        <w:rPr>
          <w:b/>
        </w:rPr>
      </w:pPr>
      <w:r w:rsidRPr="00CF296C">
        <w:rPr>
          <w:b/>
        </w:rPr>
        <w:t xml:space="preserve">Материально-технические условия реализации </w:t>
      </w:r>
      <w:r>
        <w:rPr>
          <w:b/>
        </w:rPr>
        <w:t>П</w:t>
      </w:r>
      <w:r w:rsidRPr="00CF296C">
        <w:rPr>
          <w:b/>
        </w:rPr>
        <w:t>рограммы.</w:t>
      </w:r>
    </w:p>
    <w:p w:rsidR="009946BB" w:rsidRPr="00CF296C" w:rsidRDefault="009946BB" w:rsidP="009946BB">
      <w:pPr>
        <w:pStyle w:val="ConsPlusNormal"/>
        <w:ind w:right="-1" w:firstLine="540"/>
        <w:jc w:val="both"/>
        <w:rPr>
          <w:b/>
        </w:rPr>
      </w:pPr>
      <w:r w:rsidRPr="00CF296C">
        <w:rPr>
          <w:b/>
        </w:rPr>
        <w:t xml:space="preserve">Учебные транспортные средства категории "B"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rsidRPr="00CF296C">
          <w:rPr>
            <w:b/>
          </w:rPr>
          <w:t>750 кг</w:t>
        </w:r>
      </w:smartTag>
      <w:r w:rsidRPr="00CF296C">
        <w:rPr>
          <w:b/>
        </w:rPr>
        <w:t>, зарегистрированными в установленном порядке.</w:t>
      </w:r>
    </w:p>
    <w:p w:rsidR="009946BB" w:rsidRDefault="009946BB" w:rsidP="009946BB">
      <w:pPr>
        <w:pStyle w:val="ConsPlusNormal"/>
        <w:ind w:right="-1" w:firstLine="540"/>
        <w:jc w:val="both"/>
      </w:pPr>
      <w:r>
        <w:t xml:space="preserve">Механическое транспортное средство, используемое для обучения вождению оборудовано </w:t>
      </w:r>
      <w:r w:rsidRPr="006817AE">
        <w:rPr>
          <w:b/>
        </w:rPr>
        <w:t>дополнительными педалями привода сцепления</w:t>
      </w:r>
      <w:r>
        <w:t xml:space="preserve"> (кроме транспортных средств с автоматической трансмиссией) </w:t>
      </w:r>
      <w:r w:rsidRPr="006817AE">
        <w:rPr>
          <w:b/>
        </w:rPr>
        <w:t>и тормоза</w:t>
      </w:r>
      <w:r>
        <w:t xml:space="preserve">; </w:t>
      </w:r>
      <w:r w:rsidRPr="006817AE">
        <w:rPr>
          <w:b/>
        </w:rPr>
        <w:t>зеркалом заднего вида</w:t>
      </w:r>
      <w:r>
        <w:t xml:space="preserve"> </w:t>
      </w:r>
      <w:proofErr w:type="gramStart"/>
      <w:r>
        <w:t>для</w:t>
      </w:r>
      <w:proofErr w:type="gramEnd"/>
      <w:r>
        <w:t xml:space="preserve"> обучающего; </w:t>
      </w:r>
      <w:proofErr w:type="gramStart"/>
      <w:r w:rsidRPr="006817AE">
        <w:rPr>
          <w:b/>
        </w:rPr>
        <w:t>опознавательным знаком</w:t>
      </w:r>
      <w:r>
        <w:t xml:space="preserve"> "Учебное транспортное средство" в соответствии с </w:t>
      </w:r>
      <w:hyperlink r:id="rId4" w:tooltip="Постановление Правительства РФ от 23.10.1993 N 1090 (ред. от 17.05.2014)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w:t>
      </w:r>
      <w:proofErr w:type="gramEnd"/>
      <w:r>
        <w:t xml:space="preserve"> </w:t>
      </w:r>
      <w:proofErr w:type="gramStart"/>
      <w: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t xml:space="preserve"> </w:t>
      </w:r>
      <w:proofErr w:type="gramStart"/>
      <w:r>
        <w:t>N 17, ст. 1882; 2009, N 2, ст. 233; N 5, ст. 610; 2010, N 9, ст. 976; N 20, ст. 2471; 2011, N 42, ст. 5922; 2012, N 1, ст. 154; N 15, ст. 1780; N 30, ст. 4289; N 47, ст. 6505; 2013, N 5, ст. 371; N 5, ст. 404;</w:t>
      </w:r>
      <w:proofErr w:type="gramEnd"/>
      <w:r>
        <w:t xml:space="preserve"> </w:t>
      </w:r>
      <w:proofErr w:type="gramStart"/>
      <w:r>
        <w:t>N 24, ст. 2999; N 31, ст. 4218; N 41, ст. 5194).</w:t>
      </w:r>
      <w:proofErr w:type="gramEnd"/>
    </w:p>
    <w:p w:rsidR="009946BB" w:rsidRDefault="009946BB" w:rsidP="009946BB">
      <w:pPr>
        <w:pStyle w:val="ConsPlusNormal"/>
        <w:ind w:right="-1" w:firstLine="540"/>
        <w:jc w:val="both"/>
      </w:pPr>
    </w:p>
    <w:p w:rsidR="009946BB" w:rsidRPr="00C46BC4" w:rsidRDefault="009946BB" w:rsidP="009946BB">
      <w:pPr>
        <w:pStyle w:val="ConsPlusNormal"/>
        <w:ind w:right="-1"/>
        <w:jc w:val="center"/>
        <w:outlineLvl w:val="2"/>
        <w:rPr>
          <w:b/>
        </w:rPr>
      </w:pPr>
      <w:bookmarkStart w:id="0" w:name="Par1744"/>
      <w:bookmarkEnd w:id="0"/>
      <w:r w:rsidRPr="00C46BC4">
        <w:rPr>
          <w:b/>
        </w:rPr>
        <w:t>Перечень учебного оборудования</w:t>
      </w:r>
    </w:p>
    <w:p w:rsidR="009946BB" w:rsidRPr="00C46BC4" w:rsidRDefault="009946BB" w:rsidP="009946BB">
      <w:pPr>
        <w:pStyle w:val="ConsPlusNormal"/>
        <w:ind w:right="-1"/>
        <w:jc w:val="center"/>
        <w:rPr>
          <w:b/>
        </w:rPr>
      </w:pPr>
    </w:p>
    <w:p w:rsidR="009946BB" w:rsidRDefault="009946BB" w:rsidP="009946BB">
      <w:pPr>
        <w:pStyle w:val="ConsPlusNormal"/>
        <w:ind w:right="-1"/>
        <w:jc w:val="right"/>
      </w:pPr>
      <w:r>
        <w:t>Таблица 12</w:t>
      </w:r>
    </w:p>
    <w:p w:rsidR="009946BB" w:rsidRDefault="009946BB" w:rsidP="009946BB">
      <w:pPr>
        <w:pStyle w:val="ConsPlusNormal"/>
        <w:ind w:right="-1" w:firstLine="540"/>
        <w:jc w:val="both"/>
      </w:pPr>
    </w:p>
    <w:tbl>
      <w:tblPr>
        <w:tblW w:w="0" w:type="auto"/>
        <w:tblCellSpacing w:w="5" w:type="nil"/>
        <w:tblInd w:w="75" w:type="dxa"/>
        <w:tblLayout w:type="fixed"/>
        <w:tblCellMar>
          <w:left w:w="75" w:type="dxa"/>
          <w:right w:w="75" w:type="dxa"/>
        </w:tblCellMar>
        <w:tblLook w:val="0000"/>
      </w:tblPr>
      <w:tblGrid>
        <w:gridCol w:w="6294"/>
        <w:gridCol w:w="1696"/>
        <w:gridCol w:w="1710"/>
      </w:tblGrid>
      <w:tr w:rsidR="009946BB" w:rsidTr="00903EC7">
        <w:trPr>
          <w:tblCellSpacing w:w="5" w:type="nil"/>
        </w:trPr>
        <w:tc>
          <w:tcPr>
            <w:tcW w:w="6294"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Единица измерения</w:t>
            </w:r>
          </w:p>
        </w:tc>
        <w:tc>
          <w:tcPr>
            <w:tcW w:w="1710"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Количество</w:t>
            </w:r>
          </w:p>
        </w:tc>
      </w:tr>
      <w:tr w:rsidR="009946BB" w:rsidTr="00903EC7">
        <w:trPr>
          <w:tblCellSpacing w:w="5" w:type="nil"/>
        </w:trPr>
        <w:tc>
          <w:tcPr>
            <w:tcW w:w="6294" w:type="dxa"/>
            <w:tcBorders>
              <w:top w:val="single" w:sz="4" w:space="0" w:color="auto"/>
              <w:left w:val="single" w:sz="4" w:space="0" w:color="auto"/>
              <w:right w:val="single" w:sz="4" w:space="0" w:color="auto"/>
            </w:tcBorders>
          </w:tcPr>
          <w:p w:rsidR="009946BB" w:rsidRDefault="009946BB" w:rsidP="00903EC7">
            <w:pPr>
              <w:pStyle w:val="ConsPlusNormal"/>
              <w:ind w:right="-1"/>
              <w:jc w:val="center"/>
              <w:outlineLvl w:val="3"/>
            </w:pPr>
            <w:bookmarkStart w:id="1" w:name="Par1751"/>
            <w:bookmarkEnd w:id="1"/>
            <w: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Pr>
          <w:p w:rsidR="009946BB" w:rsidRDefault="009946BB" w:rsidP="00903EC7">
            <w:pPr>
              <w:pStyle w:val="ConsPlusNormal"/>
              <w:ind w:right="-1"/>
              <w:jc w:val="center"/>
            </w:pPr>
          </w:p>
        </w:tc>
        <w:tc>
          <w:tcPr>
            <w:tcW w:w="1710" w:type="dxa"/>
            <w:tcBorders>
              <w:top w:val="single" w:sz="4" w:space="0" w:color="auto"/>
              <w:left w:val="single" w:sz="4" w:space="0" w:color="auto"/>
              <w:right w:val="single" w:sz="4" w:space="0" w:color="auto"/>
            </w:tcBorders>
          </w:tcPr>
          <w:p w:rsidR="009946BB" w:rsidRDefault="009946BB" w:rsidP="00903EC7">
            <w:pPr>
              <w:pStyle w:val="ConsPlusNormal"/>
              <w:ind w:right="-1"/>
              <w:jc w:val="center"/>
            </w:pP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p>
        </w:tc>
        <w:tc>
          <w:tcPr>
            <w:tcW w:w="1696" w:type="dxa"/>
            <w:tcBorders>
              <w:left w:val="single" w:sz="4" w:space="0" w:color="auto"/>
              <w:right w:val="single" w:sz="4" w:space="0" w:color="auto"/>
            </w:tcBorders>
          </w:tcPr>
          <w:p w:rsidR="009946BB" w:rsidRDefault="009946BB" w:rsidP="00903EC7">
            <w:pPr>
              <w:pStyle w:val="ConsPlusNormal"/>
              <w:ind w:right="-1"/>
              <w:jc w:val="center"/>
            </w:pPr>
          </w:p>
        </w:tc>
        <w:tc>
          <w:tcPr>
            <w:tcW w:w="1710" w:type="dxa"/>
            <w:tcBorders>
              <w:left w:val="single" w:sz="4" w:space="0" w:color="auto"/>
              <w:right w:val="single" w:sz="4" w:space="0" w:color="auto"/>
            </w:tcBorders>
          </w:tcPr>
          <w:p w:rsidR="009946BB" w:rsidRDefault="009946BB" w:rsidP="00903EC7">
            <w:pPr>
              <w:pStyle w:val="ConsPlusNormal"/>
              <w:ind w:right="-1"/>
              <w:jc w:val="center"/>
            </w:pP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p>
        </w:tc>
        <w:tc>
          <w:tcPr>
            <w:tcW w:w="1696" w:type="dxa"/>
            <w:tcBorders>
              <w:left w:val="single" w:sz="4" w:space="0" w:color="auto"/>
              <w:right w:val="single" w:sz="4" w:space="0" w:color="auto"/>
            </w:tcBorders>
          </w:tcPr>
          <w:p w:rsidR="009946BB" w:rsidRDefault="009946BB" w:rsidP="00903EC7">
            <w:pPr>
              <w:pStyle w:val="ConsPlusNormal"/>
              <w:ind w:right="-1"/>
              <w:jc w:val="center"/>
            </w:pPr>
          </w:p>
        </w:tc>
        <w:tc>
          <w:tcPr>
            <w:tcW w:w="1710" w:type="dxa"/>
            <w:tcBorders>
              <w:left w:val="single" w:sz="4" w:space="0" w:color="auto"/>
              <w:right w:val="single" w:sz="4" w:space="0" w:color="auto"/>
            </w:tcBorders>
          </w:tcPr>
          <w:p w:rsidR="009946BB" w:rsidRDefault="009946BB" w:rsidP="00903EC7">
            <w:pPr>
              <w:pStyle w:val="ConsPlusNormal"/>
              <w:ind w:right="-1"/>
              <w:jc w:val="center"/>
            </w:pP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Детское удерживающее устройство</w:t>
            </w:r>
          </w:p>
        </w:tc>
        <w:tc>
          <w:tcPr>
            <w:tcW w:w="1696" w:type="dxa"/>
            <w:tcBorders>
              <w:left w:val="single" w:sz="4" w:space="0" w:color="auto"/>
              <w:right w:val="single" w:sz="4" w:space="0" w:color="auto"/>
            </w:tcBorders>
          </w:tcPr>
          <w:p w:rsidR="009946BB" w:rsidRDefault="009946BB" w:rsidP="00903EC7">
            <w:pPr>
              <w:pStyle w:val="ConsPlusNormal"/>
              <w:ind w:right="-1"/>
              <w:jc w:val="center"/>
            </w:pPr>
            <w:r>
              <w:t>комплект</w:t>
            </w:r>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Гибкое связующее звено (буксировочный трос)</w:t>
            </w:r>
          </w:p>
        </w:tc>
        <w:tc>
          <w:tcPr>
            <w:tcW w:w="1696" w:type="dxa"/>
            <w:tcBorders>
              <w:left w:val="single" w:sz="4" w:space="0" w:color="auto"/>
              <w:right w:val="single" w:sz="4" w:space="0" w:color="auto"/>
            </w:tcBorders>
          </w:tcPr>
          <w:p w:rsidR="009946BB" w:rsidRDefault="009946BB" w:rsidP="00903EC7">
            <w:pPr>
              <w:pStyle w:val="ConsPlusNormal"/>
              <w:ind w:right="-1"/>
              <w:jc w:val="center"/>
            </w:pPr>
            <w:r>
              <w:t>комплект</w:t>
            </w:r>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Тягово-сцепное устройство</w:t>
            </w:r>
          </w:p>
        </w:tc>
        <w:tc>
          <w:tcPr>
            <w:tcW w:w="1696" w:type="dxa"/>
            <w:tcBorders>
              <w:left w:val="single" w:sz="4" w:space="0" w:color="auto"/>
              <w:right w:val="single" w:sz="4" w:space="0" w:color="auto"/>
            </w:tcBorders>
          </w:tcPr>
          <w:p w:rsidR="009946BB" w:rsidRDefault="009946BB" w:rsidP="00903EC7">
            <w:pPr>
              <w:pStyle w:val="ConsPlusNormal"/>
              <w:ind w:right="-1"/>
              <w:jc w:val="center"/>
            </w:pPr>
            <w:r>
              <w:t>комплект</w:t>
            </w:r>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Компьютер с соответствующим программным обеспечением</w:t>
            </w:r>
          </w:p>
        </w:tc>
        <w:tc>
          <w:tcPr>
            <w:tcW w:w="1696" w:type="dxa"/>
            <w:tcBorders>
              <w:left w:val="single" w:sz="4" w:space="0" w:color="auto"/>
              <w:right w:val="single" w:sz="4" w:space="0" w:color="auto"/>
            </w:tcBorders>
          </w:tcPr>
          <w:p w:rsidR="009946BB" w:rsidRDefault="009946BB" w:rsidP="00903EC7">
            <w:pPr>
              <w:pStyle w:val="ConsPlusNormal"/>
              <w:ind w:right="-1"/>
              <w:jc w:val="center"/>
            </w:pPr>
            <w:r>
              <w:t>комплект</w:t>
            </w:r>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proofErr w:type="spellStart"/>
            <w:r>
              <w:t>Мультимедийный</w:t>
            </w:r>
            <w:proofErr w:type="spellEnd"/>
            <w:r>
              <w:t xml:space="preserve"> проектор</w:t>
            </w:r>
          </w:p>
        </w:tc>
        <w:tc>
          <w:tcPr>
            <w:tcW w:w="1696" w:type="dxa"/>
            <w:tcBorders>
              <w:left w:val="single" w:sz="4" w:space="0" w:color="auto"/>
              <w:right w:val="single" w:sz="4" w:space="0" w:color="auto"/>
            </w:tcBorders>
          </w:tcPr>
          <w:p w:rsidR="009946BB" w:rsidRDefault="009946BB" w:rsidP="00903EC7">
            <w:pPr>
              <w:pStyle w:val="ConsPlusNormal"/>
              <w:ind w:right="-1"/>
              <w:jc w:val="center"/>
            </w:pPr>
            <w:r>
              <w:t>комплект</w:t>
            </w:r>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Экран (монитор, электронная доска)</w:t>
            </w:r>
          </w:p>
        </w:tc>
        <w:tc>
          <w:tcPr>
            <w:tcW w:w="1696" w:type="dxa"/>
            <w:tcBorders>
              <w:left w:val="single" w:sz="4" w:space="0" w:color="auto"/>
              <w:right w:val="single" w:sz="4" w:space="0" w:color="auto"/>
            </w:tcBorders>
          </w:tcPr>
          <w:p w:rsidR="009946BB" w:rsidRDefault="009946BB" w:rsidP="00903EC7">
            <w:pPr>
              <w:pStyle w:val="ConsPlusNormal"/>
              <w:ind w:right="-1"/>
              <w:jc w:val="center"/>
            </w:pPr>
            <w:r>
              <w:t>комплект</w:t>
            </w:r>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Магнитная доска со схемой населенного пункта &lt;1&gt;</w:t>
            </w:r>
          </w:p>
        </w:tc>
        <w:tc>
          <w:tcPr>
            <w:tcW w:w="1696" w:type="dxa"/>
            <w:tcBorders>
              <w:left w:val="single" w:sz="4" w:space="0" w:color="auto"/>
              <w:right w:val="single" w:sz="4" w:space="0" w:color="auto"/>
            </w:tcBorders>
          </w:tcPr>
          <w:p w:rsidR="009946BB" w:rsidRDefault="009946BB" w:rsidP="00903EC7">
            <w:pPr>
              <w:pStyle w:val="ConsPlusNormal"/>
              <w:ind w:right="-1"/>
              <w:jc w:val="center"/>
            </w:pPr>
            <w:r>
              <w:t>комплект</w:t>
            </w:r>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jc w:val="center"/>
              <w:outlineLvl w:val="3"/>
            </w:pPr>
            <w:bookmarkStart w:id="2" w:name="Par1781"/>
            <w:bookmarkEnd w:id="2"/>
            <w:r>
              <w:t>Учебно-наглядные пособия &lt;2&gt;</w:t>
            </w:r>
          </w:p>
        </w:tc>
        <w:tc>
          <w:tcPr>
            <w:tcW w:w="1696" w:type="dxa"/>
            <w:tcBorders>
              <w:left w:val="single" w:sz="4" w:space="0" w:color="auto"/>
              <w:right w:val="single" w:sz="4" w:space="0" w:color="auto"/>
            </w:tcBorders>
          </w:tcPr>
          <w:p w:rsidR="009946BB" w:rsidRDefault="009946BB" w:rsidP="00903EC7">
            <w:pPr>
              <w:pStyle w:val="ConsPlusNormal"/>
              <w:ind w:right="-1"/>
              <w:jc w:val="center"/>
            </w:pPr>
          </w:p>
        </w:tc>
        <w:tc>
          <w:tcPr>
            <w:tcW w:w="1710" w:type="dxa"/>
            <w:tcBorders>
              <w:left w:val="single" w:sz="4" w:space="0" w:color="auto"/>
              <w:right w:val="single" w:sz="4" w:space="0" w:color="auto"/>
            </w:tcBorders>
          </w:tcPr>
          <w:p w:rsidR="009946BB" w:rsidRDefault="009946BB" w:rsidP="00903EC7">
            <w:pPr>
              <w:pStyle w:val="ConsPlusNormal"/>
              <w:ind w:right="-1"/>
              <w:jc w:val="center"/>
            </w:pP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jc w:val="center"/>
              <w:outlineLvl w:val="4"/>
            </w:pPr>
            <w:bookmarkStart w:id="3" w:name="Par1784"/>
            <w:bookmarkEnd w:id="3"/>
            <w:r>
              <w:t>Основы законодательства в сфере дорожного движения</w:t>
            </w:r>
          </w:p>
        </w:tc>
        <w:tc>
          <w:tcPr>
            <w:tcW w:w="1696" w:type="dxa"/>
            <w:tcBorders>
              <w:left w:val="single" w:sz="4" w:space="0" w:color="auto"/>
              <w:right w:val="single" w:sz="4" w:space="0" w:color="auto"/>
            </w:tcBorders>
          </w:tcPr>
          <w:p w:rsidR="009946BB" w:rsidRDefault="009946BB" w:rsidP="00903EC7">
            <w:pPr>
              <w:pStyle w:val="ConsPlusNormal"/>
              <w:ind w:right="-1"/>
              <w:jc w:val="center"/>
            </w:pPr>
          </w:p>
        </w:tc>
        <w:tc>
          <w:tcPr>
            <w:tcW w:w="1710" w:type="dxa"/>
            <w:tcBorders>
              <w:left w:val="single" w:sz="4" w:space="0" w:color="auto"/>
              <w:right w:val="single" w:sz="4" w:space="0" w:color="auto"/>
            </w:tcBorders>
          </w:tcPr>
          <w:p w:rsidR="009946BB" w:rsidRDefault="009946BB" w:rsidP="00903EC7">
            <w:pPr>
              <w:pStyle w:val="ConsPlusNormal"/>
              <w:ind w:right="-1"/>
              <w:jc w:val="center"/>
            </w:pP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Дорожные знаки</w:t>
            </w:r>
          </w:p>
        </w:tc>
        <w:tc>
          <w:tcPr>
            <w:tcW w:w="1696" w:type="dxa"/>
            <w:tcBorders>
              <w:left w:val="single" w:sz="4" w:space="0" w:color="auto"/>
              <w:right w:val="single" w:sz="4" w:space="0" w:color="auto"/>
            </w:tcBorders>
          </w:tcPr>
          <w:p w:rsidR="009946BB" w:rsidRDefault="009946BB" w:rsidP="00903EC7">
            <w:pPr>
              <w:pStyle w:val="ConsPlusNormal"/>
              <w:ind w:right="-1"/>
              <w:jc w:val="center"/>
            </w:pPr>
            <w:r>
              <w:t>комплект</w:t>
            </w:r>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Дорожная разметка</w:t>
            </w:r>
          </w:p>
        </w:tc>
        <w:tc>
          <w:tcPr>
            <w:tcW w:w="1696" w:type="dxa"/>
            <w:tcBorders>
              <w:left w:val="single" w:sz="4" w:space="0" w:color="auto"/>
              <w:right w:val="single" w:sz="4" w:space="0" w:color="auto"/>
            </w:tcBorders>
          </w:tcPr>
          <w:p w:rsidR="009946BB" w:rsidRDefault="009946BB" w:rsidP="00903EC7">
            <w:pPr>
              <w:pStyle w:val="ConsPlusNormal"/>
              <w:ind w:right="-1"/>
              <w:jc w:val="center"/>
            </w:pPr>
            <w:r>
              <w:t>комплект</w:t>
            </w:r>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Опознавательные и регистрационные знаки</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Средства регулирования дорожного движения</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Сигналы регулировщика</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Применение аварийной сигнализации и знака аварийной остановки</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Начало движения, маневрирование. Способы разворота</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Расположение транспортных средств на проезжей части</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Скорость движения</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Обгон, опережение, встречный разъезд</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Остановка и стоянка</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Проезд перекрестков</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Движение через железнодорожные пути</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Движение по автомагистралям</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Движение в жилых зонах</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Перевозка пассажиров</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Перевозка грузов</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Ответственность за правонарушения в области дорожного движения</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Страхование автогражданской ответственности</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lastRenderedPageBreak/>
              <w:t>Последовательность действий при ДТП</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jc w:val="center"/>
              <w:outlineLvl w:val="4"/>
            </w:pPr>
            <w:bookmarkStart w:id="4" w:name="Par1853"/>
            <w:bookmarkEnd w:id="4"/>
            <w:r>
              <w:t>Психофизиологические основы деятельности водителя</w:t>
            </w:r>
          </w:p>
        </w:tc>
        <w:tc>
          <w:tcPr>
            <w:tcW w:w="1696" w:type="dxa"/>
            <w:tcBorders>
              <w:left w:val="single" w:sz="4" w:space="0" w:color="auto"/>
              <w:right w:val="single" w:sz="4" w:space="0" w:color="auto"/>
            </w:tcBorders>
          </w:tcPr>
          <w:p w:rsidR="009946BB" w:rsidRDefault="009946BB" w:rsidP="00903EC7">
            <w:pPr>
              <w:pStyle w:val="ConsPlusNormal"/>
              <w:ind w:right="-1"/>
              <w:jc w:val="center"/>
            </w:pPr>
          </w:p>
        </w:tc>
        <w:tc>
          <w:tcPr>
            <w:tcW w:w="1710" w:type="dxa"/>
            <w:tcBorders>
              <w:left w:val="single" w:sz="4" w:space="0" w:color="auto"/>
              <w:right w:val="single" w:sz="4" w:space="0" w:color="auto"/>
            </w:tcBorders>
          </w:tcPr>
          <w:p w:rsidR="009946BB" w:rsidRDefault="009946BB" w:rsidP="00903EC7">
            <w:pPr>
              <w:pStyle w:val="ConsPlusNormal"/>
              <w:ind w:right="-1"/>
              <w:jc w:val="center"/>
            </w:pP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Психофизиологические особенности деятельности водителя</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Конфликтные ситуации в дорожном движении</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Факторы риска при вождении автомобиля</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jc w:val="center"/>
              <w:outlineLvl w:val="4"/>
            </w:pPr>
            <w:bookmarkStart w:id="5" w:name="Par1868"/>
            <w:bookmarkEnd w:id="5"/>
            <w:r>
              <w:t>Основы управления транспортными средствами</w:t>
            </w:r>
          </w:p>
        </w:tc>
        <w:tc>
          <w:tcPr>
            <w:tcW w:w="1696" w:type="dxa"/>
            <w:tcBorders>
              <w:left w:val="single" w:sz="4" w:space="0" w:color="auto"/>
              <w:right w:val="single" w:sz="4" w:space="0" w:color="auto"/>
            </w:tcBorders>
          </w:tcPr>
          <w:p w:rsidR="009946BB" w:rsidRDefault="009946BB" w:rsidP="00903EC7">
            <w:pPr>
              <w:pStyle w:val="ConsPlusNormal"/>
              <w:ind w:right="-1"/>
              <w:jc w:val="center"/>
            </w:pPr>
          </w:p>
        </w:tc>
        <w:tc>
          <w:tcPr>
            <w:tcW w:w="1710" w:type="dxa"/>
            <w:tcBorders>
              <w:left w:val="single" w:sz="4" w:space="0" w:color="auto"/>
              <w:right w:val="single" w:sz="4" w:space="0" w:color="auto"/>
            </w:tcBorders>
          </w:tcPr>
          <w:p w:rsidR="009946BB" w:rsidRDefault="009946BB" w:rsidP="00903EC7">
            <w:pPr>
              <w:pStyle w:val="ConsPlusNormal"/>
              <w:ind w:right="-1"/>
              <w:jc w:val="center"/>
            </w:pP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Сложные дорожные условия</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Виды и причины ДТП</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Типичные опасные ситуации</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Сложные метеоусловия</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Движение в темное время суток</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Посадка водителя за рулем. Экипировка водителя</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Способы торможения</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Тормозной и остановочный путь</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Действия водителя в критических ситуациях</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Силы, действующие на транспортное средство</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Управление автомобилем в нештатных ситуациях</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Профессиональная надежность водителя</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Влияние дорожных условий на безопасность движения</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Безопасное прохождение поворотов</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Безопасность пассажиров транспортных средств</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Безопасность пешеходов и велосипедистов</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Типичные ошибки пешеходов</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Типовые примеры допускаемых нарушений ПДД</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jc w:val="center"/>
              <w:outlineLvl w:val="4"/>
            </w:pPr>
            <w:bookmarkStart w:id="6" w:name="Par1928"/>
            <w:bookmarkEnd w:id="6"/>
            <w: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Pr>
          <w:p w:rsidR="009946BB" w:rsidRDefault="009946BB" w:rsidP="00903EC7">
            <w:pPr>
              <w:pStyle w:val="ConsPlusNormal"/>
              <w:ind w:right="-1"/>
              <w:jc w:val="center"/>
            </w:pPr>
          </w:p>
        </w:tc>
        <w:tc>
          <w:tcPr>
            <w:tcW w:w="1710" w:type="dxa"/>
            <w:tcBorders>
              <w:left w:val="single" w:sz="4" w:space="0" w:color="auto"/>
              <w:right w:val="single" w:sz="4" w:space="0" w:color="auto"/>
            </w:tcBorders>
          </w:tcPr>
          <w:p w:rsidR="009946BB" w:rsidRDefault="009946BB" w:rsidP="00903EC7">
            <w:pPr>
              <w:pStyle w:val="ConsPlusNormal"/>
              <w:ind w:right="-1"/>
              <w:jc w:val="center"/>
            </w:pP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Классификация автомобилей</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Общее устройство автомобиля</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Кузов автомобиля, системы пассивной безопасности</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Общее устройство и принцип работы двигателя</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Горюче-смазочные материалы и специальные жидкости</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Схемы трансмиссии автомобилей с различными приводами</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Общее устройство и принцип работы сцепления</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Передняя и задняя подвески</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Конструкции и маркировка автомобильных шин</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Общее устройство и принцип работы тормозных систем</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Общее устройство и принцип работы системы рулевого управления</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Общее устройство и маркировка аккумуляторных батарей</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Общее устройство и принцип работы генератора</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Общее устройство и принцип работы стартера</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Классификация прицепов</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Общее устройство прицепа</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Виды подвесок, применяемых на прицепах</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Электрооборудование прицепа</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Устройство узла сцепки и тягово-сцепного устройства</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jc w:val="center"/>
              <w:outlineLvl w:val="4"/>
            </w:pPr>
            <w:bookmarkStart w:id="7" w:name="Par2003"/>
            <w:bookmarkEnd w:id="7"/>
            <w: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Pr>
          <w:p w:rsidR="009946BB" w:rsidRDefault="009946BB" w:rsidP="00903EC7">
            <w:pPr>
              <w:pStyle w:val="ConsPlusNormal"/>
              <w:ind w:right="-1"/>
              <w:jc w:val="center"/>
            </w:pPr>
          </w:p>
        </w:tc>
        <w:tc>
          <w:tcPr>
            <w:tcW w:w="1710" w:type="dxa"/>
            <w:tcBorders>
              <w:left w:val="single" w:sz="4" w:space="0" w:color="auto"/>
              <w:right w:val="single" w:sz="4" w:space="0" w:color="auto"/>
            </w:tcBorders>
          </w:tcPr>
          <w:p w:rsidR="009946BB" w:rsidRDefault="009946BB" w:rsidP="00903EC7">
            <w:pPr>
              <w:pStyle w:val="ConsPlusNormal"/>
              <w:ind w:right="-1"/>
              <w:jc w:val="center"/>
            </w:pP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 xml:space="preserve">Нормативные правовые акты, определяющие порядок перевозки </w:t>
            </w:r>
            <w:r>
              <w:lastRenderedPageBreak/>
              <w:t>грузов автомобильным транспортом</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lastRenderedPageBreak/>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jc w:val="center"/>
              <w:outlineLvl w:val="4"/>
            </w:pPr>
            <w:bookmarkStart w:id="8" w:name="Par2009"/>
            <w:bookmarkEnd w:id="8"/>
            <w:r>
              <w:lastRenderedPageBreak/>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Pr>
          <w:p w:rsidR="009946BB" w:rsidRDefault="009946BB" w:rsidP="00903EC7">
            <w:pPr>
              <w:pStyle w:val="ConsPlusNormal"/>
              <w:ind w:right="-1"/>
              <w:jc w:val="center"/>
            </w:pPr>
          </w:p>
        </w:tc>
        <w:tc>
          <w:tcPr>
            <w:tcW w:w="1710" w:type="dxa"/>
            <w:tcBorders>
              <w:left w:val="single" w:sz="4" w:space="0" w:color="auto"/>
              <w:right w:val="single" w:sz="4" w:space="0" w:color="auto"/>
            </w:tcBorders>
          </w:tcPr>
          <w:p w:rsidR="009946BB" w:rsidRDefault="009946BB" w:rsidP="00903EC7">
            <w:pPr>
              <w:pStyle w:val="ConsPlusNormal"/>
              <w:ind w:right="-1"/>
              <w:jc w:val="center"/>
            </w:pP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jc w:val="center"/>
              <w:outlineLvl w:val="3"/>
            </w:pPr>
            <w:bookmarkStart w:id="9" w:name="Par2015"/>
            <w:bookmarkEnd w:id="9"/>
            <w:r>
              <w:t>Информационные материалы</w:t>
            </w:r>
          </w:p>
        </w:tc>
        <w:tc>
          <w:tcPr>
            <w:tcW w:w="1696" w:type="dxa"/>
            <w:tcBorders>
              <w:left w:val="single" w:sz="4" w:space="0" w:color="auto"/>
              <w:right w:val="single" w:sz="4" w:space="0" w:color="auto"/>
            </w:tcBorders>
          </w:tcPr>
          <w:p w:rsidR="009946BB" w:rsidRDefault="009946BB" w:rsidP="00903EC7">
            <w:pPr>
              <w:pStyle w:val="ConsPlusNormal"/>
              <w:ind w:right="-1"/>
              <w:jc w:val="center"/>
            </w:pPr>
          </w:p>
        </w:tc>
        <w:tc>
          <w:tcPr>
            <w:tcW w:w="1710" w:type="dxa"/>
            <w:tcBorders>
              <w:left w:val="single" w:sz="4" w:space="0" w:color="auto"/>
              <w:right w:val="single" w:sz="4" w:space="0" w:color="auto"/>
            </w:tcBorders>
          </w:tcPr>
          <w:p w:rsidR="009946BB" w:rsidRDefault="009946BB" w:rsidP="00903EC7">
            <w:pPr>
              <w:pStyle w:val="ConsPlusNormal"/>
              <w:ind w:right="-1"/>
              <w:jc w:val="center"/>
            </w:pP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jc w:val="center"/>
              <w:outlineLvl w:val="4"/>
            </w:pPr>
            <w:bookmarkStart w:id="10" w:name="Par2018"/>
            <w:bookmarkEnd w:id="10"/>
            <w:r>
              <w:t>Информационный стенд</w:t>
            </w:r>
          </w:p>
        </w:tc>
        <w:tc>
          <w:tcPr>
            <w:tcW w:w="1696" w:type="dxa"/>
            <w:tcBorders>
              <w:left w:val="single" w:sz="4" w:space="0" w:color="auto"/>
              <w:right w:val="single" w:sz="4" w:space="0" w:color="auto"/>
            </w:tcBorders>
          </w:tcPr>
          <w:p w:rsidR="009946BB" w:rsidRDefault="009946BB" w:rsidP="00903EC7">
            <w:pPr>
              <w:pStyle w:val="ConsPlusNormal"/>
              <w:ind w:right="-1"/>
              <w:jc w:val="center"/>
            </w:pPr>
          </w:p>
        </w:tc>
        <w:tc>
          <w:tcPr>
            <w:tcW w:w="1710" w:type="dxa"/>
            <w:tcBorders>
              <w:left w:val="single" w:sz="4" w:space="0" w:color="auto"/>
              <w:right w:val="single" w:sz="4" w:space="0" w:color="auto"/>
            </w:tcBorders>
          </w:tcPr>
          <w:p w:rsidR="009946BB" w:rsidRDefault="009946BB" w:rsidP="00903EC7">
            <w:pPr>
              <w:pStyle w:val="ConsPlusNormal"/>
              <w:ind w:right="-1"/>
              <w:jc w:val="center"/>
            </w:pP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 xml:space="preserve">Закон Российской Федерации от 7 февраля </w:t>
            </w:r>
            <w:smartTag w:uri="urn:schemas-microsoft-com:office:smarttags" w:element="metricconverter">
              <w:smartTagPr>
                <w:attr w:name="ProductID" w:val="1992 г"/>
              </w:smartTagPr>
              <w:r>
                <w:t>1992 г</w:t>
              </w:r>
            </w:smartTag>
            <w:r>
              <w:t>. N 2300-1 "О защите прав потребителей"</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Копия лицензии с соответствующим приложением</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Учебный план</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Календарный учебный график (на каждую учебную группу)</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Расписание занятий (на каждую учебную группу)</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График учебного вождения (на каждую учебную группу)</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right w:val="single" w:sz="4" w:space="0" w:color="auto"/>
            </w:tcBorders>
          </w:tcPr>
          <w:p w:rsidR="009946BB" w:rsidRDefault="009946BB" w:rsidP="00903EC7">
            <w:pPr>
              <w:pStyle w:val="ConsPlusNormal"/>
              <w:ind w:right="-1"/>
            </w:pPr>
            <w:r>
              <w:t>Книга жалоб и предложений</w:t>
            </w:r>
          </w:p>
        </w:tc>
        <w:tc>
          <w:tcPr>
            <w:tcW w:w="1696" w:type="dxa"/>
            <w:tcBorders>
              <w:left w:val="single" w:sz="4" w:space="0" w:color="auto"/>
              <w:right w:val="single" w:sz="4" w:space="0" w:color="auto"/>
            </w:tcBorders>
          </w:tcPr>
          <w:p w:rsidR="009946BB" w:rsidRDefault="009946BB" w:rsidP="00903EC7">
            <w:pPr>
              <w:pStyle w:val="ConsPlusNormal"/>
              <w:ind w:right="-1"/>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4" w:type="dxa"/>
            <w:tcBorders>
              <w:left w:val="single" w:sz="4" w:space="0" w:color="auto"/>
              <w:bottom w:val="single" w:sz="4" w:space="0" w:color="auto"/>
              <w:right w:val="single" w:sz="4" w:space="0" w:color="auto"/>
            </w:tcBorders>
          </w:tcPr>
          <w:p w:rsidR="009946BB" w:rsidRDefault="009946BB" w:rsidP="00903EC7">
            <w:pPr>
              <w:pStyle w:val="ConsPlusNormal"/>
              <w:ind w:right="-1"/>
            </w:pPr>
            <w:r>
              <w:t>Адрес официального сайта в сети "Интернет"</w:t>
            </w:r>
          </w:p>
        </w:tc>
        <w:tc>
          <w:tcPr>
            <w:tcW w:w="1696" w:type="dxa"/>
            <w:tcBorders>
              <w:left w:val="single" w:sz="4" w:space="0" w:color="auto"/>
              <w:bottom w:val="single" w:sz="4" w:space="0" w:color="auto"/>
              <w:right w:val="single" w:sz="4" w:space="0" w:color="auto"/>
            </w:tcBorders>
          </w:tcPr>
          <w:p w:rsidR="009946BB" w:rsidRDefault="009946BB" w:rsidP="00903EC7">
            <w:pPr>
              <w:pStyle w:val="ConsPlusNormal"/>
              <w:ind w:right="-1"/>
              <w:jc w:val="center"/>
            </w:pPr>
          </w:p>
        </w:tc>
        <w:tc>
          <w:tcPr>
            <w:tcW w:w="1710" w:type="dxa"/>
            <w:tcBorders>
              <w:left w:val="single" w:sz="4" w:space="0" w:color="auto"/>
              <w:bottom w:val="single" w:sz="4" w:space="0" w:color="auto"/>
              <w:right w:val="single" w:sz="4" w:space="0" w:color="auto"/>
            </w:tcBorders>
          </w:tcPr>
          <w:p w:rsidR="009946BB" w:rsidRDefault="009946BB" w:rsidP="00903EC7">
            <w:pPr>
              <w:pStyle w:val="ConsPlusNormal"/>
              <w:ind w:right="-1"/>
              <w:jc w:val="center"/>
            </w:pPr>
          </w:p>
        </w:tc>
      </w:tr>
    </w:tbl>
    <w:p w:rsidR="009946BB" w:rsidRDefault="009946BB" w:rsidP="009946BB">
      <w:pPr>
        <w:pStyle w:val="ConsPlusNormal"/>
        <w:ind w:right="-1" w:firstLine="540"/>
        <w:jc w:val="both"/>
      </w:pPr>
    </w:p>
    <w:p w:rsidR="009946BB" w:rsidRDefault="009946BB" w:rsidP="009946BB">
      <w:pPr>
        <w:pStyle w:val="ConsPlusNormal"/>
        <w:ind w:right="-1" w:firstLine="540"/>
        <w:jc w:val="both"/>
      </w:pPr>
      <w:r>
        <w:t>--------------------------------</w:t>
      </w:r>
    </w:p>
    <w:p w:rsidR="009946BB" w:rsidRDefault="009946BB" w:rsidP="009946BB">
      <w:pPr>
        <w:pStyle w:val="ConsPlusNormal"/>
        <w:ind w:right="-1" w:firstLine="540"/>
        <w:jc w:val="both"/>
      </w:pPr>
      <w:r>
        <w:t>&lt;1&gt; Магнитная доска со схемой населенного пункта может быть заменена соответствующим электронным учебным пособием.</w:t>
      </w:r>
    </w:p>
    <w:p w:rsidR="009946BB" w:rsidRDefault="009946BB" w:rsidP="009946BB">
      <w:pPr>
        <w:pStyle w:val="ConsPlusNormal"/>
        <w:ind w:right="-1" w:firstLine="540"/>
        <w:jc w:val="both"/>
      </w:pPr>
      <w:proofErr w:type="gramStart"/>
      <w:r>
        <w:t xml:space="preserve">&lt;2&gt; Учебно-наглядные пособия допустимо представлять в виде плаката, стенда, макета, планшета, модели, схемы, кинофильма, видеофильма, </w:t>
      </w:r>
      <w:proofErr w:type="spellStart"/>
      <w:r>
        <w:t>мультимедийных</w:t>
      </w:r>
      <w:proofErr w:type="spellEnd"/>
      <w:r>
        <w:t xml:space="preserve"> слайдов.</w:t>
      </w:r>
      <w:proofErr w:type="gramEnd"/>
    </w:p>
    <w:p w:rsidR="009946BB" w:rsidRDefault="009946BB" w:rsidP="009946BB">
      <w:pPr>
        <w:pStyle w:val="ConsPlusNormal"/>
        <w:ind w:right="-1"/>
        <w:jc w:val="center"/>
      </w:pPr>
    </w:p>
    <w:p w:rsidR="009946BB" w:rsidRPr="00C46BC4" w:rsidRDefault="009946BB" w:rsidP="009946BB">
      <w:pPr>
        <w:pStyle w:val="ConsPlusNormal"/>
        <w:ind w:right="-1"/>
        <w:jc w:val="center"/>
        <w:outlineLvl w:val="2"/>
        <w:rPr>
          <w:b/>
        </w:rPr>
      </w:pPr>
      <w:bookmarkStart w:id="11" w:name="Par2061"/>
      <w:bookmarkEnd w:id="11"/>
      <w:r w:rsidRPr="00C46BC4">
        <w:rPr>
          <w:b/>
        </w:rPr>
        <w:t>Перечень материалов по предмету "Первая помощь</w:t>
      </w:r>
    </w:p>
    <w:p w:rsidR="009946BB" w:rsidRPr="00C46BC4" w:rsidRDefault="009946BB" w:rsidP="009946BB">
      <w:pPr>
        <w:pStyle w:val="ConsPlusNormal"/>
        <w:ind w:right="-1"/>
        <w:jc w:val="center"/>
        <w:rPr>
          <w:b/>
        </w:rPr>
      </w:pPr>
      <w:r w:rsidRPr="00C46BC4">
        <w:rPr>
          <w:b/>
        </w:rPr>
        <w:t>при дорожно-транспортном происшествии"</w:t>
      </w:r>
    </w:p>
    <w:p w:rsidR="009946BB" w:rsidRPr="00C46BC4" w:rsidRDefault="009946BB" w:rsidP="009946BB">
      <w:pPr>
        <w:pStyle w:val="ConsPlusNormal"/>
        <w:ind w:right="-1"/>
        <w:jc w:val="center"/>
        <w:rPr>
          <w:b/>
        </w:rPr>
      </w:pPr>
    </w:p>
    <w:p w:rsidR="009946BB" w:rsidRDefault="009946BB" w:rsidP="009946BB">
      <w:pPr>
        <w:pStyle w:val="ConsPlusNormal"/>
        <w:ind w:right="-1"/>
        <w:jc w:val="right"/>
      </w:pPr>
      <w:r>
        <w:t>Таблица 13</w:t>
      </w:r>
    </w:p>
    <w:p w:rsidR="009946BB" w:rsidRDefault="009946BB" w:rsidP="009946BB">
      <w:pPr>
        <w:pStyle w:val="ConsPlusNormal"/>
        <w:ind w:right="-1" w:firstLine="540"/>
        <w:jc w:val="both"/>
      </w:pPr>
    </w:p>
    <w:tbl>
      <w:tblPr>
        <w:tblW w:w="0" w:type="auto"/>
        <w:tblCellSpacing w:w="5" w:type="nil"/>
        <w:tblInd w:w="75" w:type="dxa"/>
        <w:tblLayout w:type="fixed"/>
        <w:tblCellMar>
          <w:left w:w="75" w:type="dxa"/>
          <w:right w:w="75" w:type="dxa"/>
        </w:tblCellMar>
        <w:tblLook w:val="0000"/>
      </w:tblPr>
      <w:tblGrid>
        <w:gridCol w:w="6297"/>
        <w:gridCol w:w="1701"/>
        <w:gridCol w:w="1701"/>
      </w:tblGrid>
      <w:tr w:rsidR="009946BB" w:rsidTr="00903EC7">
        <w:trPr>
          <w:tblCellSpacing w:w="5" w:type="nil"/>
        </w:trPr>
        <w:tc>
          <w:tcPr>
            <w:tcW w:w="6297"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Количество</w:t>
            </w:r>
          </w:p>
        </w:tc>
      </w:tr>
      <w:tr w:rsidR="009946BB" w:rsidTr="00903EC7">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outlineLvl w:val="3"/>
            </w:pPr>
            <w:bookmarkStart w:id="12" w:name="Par2069"/>
            <w:bookmarkEnd w:id="12"/>
            <w:r>
              <w:t>Оборудование</w:t>
            </w:r>
          </w:p>
        </w:tc>
      </w:tr>
      <w:tr w:rsidR="009946BB" w:rsidTr="00903EC7">
        <w:trPr>
          <w:tblCellSpacing w:w="5" w:type="nil"/>
        </w:trPr>
        <w:tc>
          <w:tcPr>
            <w:tcW w:w="6297"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7"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pPr>
            <w: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7"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pPr>
            <w: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7"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20</w:t>
            </w:r>
          </w:p>
        </w:tc>
      </w:tr>
      <w:tr w:rsidR="009946BB" w:rsidTr="00903EC7">
        <w:trPr>
          <w:tblCellSpacing w:w="5" w:type="nil"/>
        </w:trPr>
        <w:tc>
          <w:tcPr>
            <w:tcW w:w="6297"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pPr>
            <w:r>
              <w:t>Мотоциклетный шлем</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штук</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outlineLvl w:val="3"/>
            </w:pPr>
            <w:bookmarkStart w:id="13" w:name="Par2085"/>
            <w:bookmarkEnd w:id="13"/>
            <w:r>
              <w:t>Расходные материалы</w:t>
            </w:r>
          </w:p>
        </w:tc>
      </w:tr>
      <w:tr w:rsidR="009946BB" w:rsidTr="00903EC7">
        <w:trPr>
          <w:tblCellSpacing w:w="5" w:type="nil"/>
        </w:trPr>
        <w:tc>
          <w:tcPr>
            <w:tcW w:w="6297"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pPr>
            <w: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8</w:t>
            </w:r>
          </w:p>
        </w:tc>
      </w:tr>
      <w:tr w:rsidR="009946BB" w:rsidTr="00903EC7">
        <w:trPr>
          <w:tblCellSpacing w:w="5" w:type="nil"/>
        </w:trPr>
        <w:tc>
          <w:tcPr>
            <w:tcW w:w="6297"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pPr>
            <w: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7"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pPr>
            <w:r>
              <w:t xml:space="preserve">Подручные материалы, имитирующие носилочные средства, средства для остановки кровотечения, перевязочные средства, </w:t>
            </w:r>
            <w:proofErr w:type="spellStart"/>
            <w:r>
              <w:lastRenderedPageBreak/>
              <w:t>иммобилизирующие</w:t>
            </w:r>
            <w:proofErr w:type="spellEnd"/>
            <w:r>
              <w:t xml:space="preserve"> средства</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lastRenderedPageBreak/>
              <w:t>комплект</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outlineLvl w:val="3"/>
            </w:pPr>
            <w:bookmarkStart w:id="14" w:name="Par2095"/>
            <w:bookmarkEnd w:id="14"/>
            <w:r>
              <w:lastRenderedPageBreak/>
              <w:t>Учебно-наглядные пособия &lt;1&gt;</w:t>
            </w:r>
          </w:p>
        </w:tc>
      </w:tr>
      <w:tr w:rsidR="009946BB" w:rsidTr="00903EC7">
        <w:trPr>
          <w:tblCellSpacing w:w="5" w:type="nil"/>
        </w:trPr>
        <w:tc>
          <w:tcPr>
            <w:tcW w:w="6297"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pPr>
            <w: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18</w:t>
            </w:r>
          </w:p>
        </w:tc>
      </w:tr>
      <w:tr w:rsidR="009946BB" w:rsidTr="00903EC7">
        <w:trPr>
          <w:tblCellSpacing w:w="5" w:type="nil"/>
        </w:trPr>
        <w:tc>
          <w:tcPr>
            <w:tcW w:w="6297"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pPr>
            <w: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7"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outlineLvl w:val="3"/>
            </w:pPr>
            <w:bookmarkStart w:id="15" w:name="Par2105"/>
            <w:bookmarkEnd w:id="15"/>
            <w:r>
              <w:t>Технические средства обучения</w:t>
            </w:r>
          </w:p>
        </w:tc>
      </w:tr>
      <w:tr w:rsidR="009946BB" w:rsidTr="00903EC7">
        <w:trPr>
          <w:tblCellSpacing w:w="5" w:type="nil"/>
        </w:trPr>
        <w:tc>
          <w:tcPr>
            <w:tcW w:w="6297"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pPr>
            <w: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7"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pPr>
            <w:proofErr w:type="spellStart"/>
            <w:r>
              <w:t>Мультимедийный</w:t>
            </w:r>
            <w:proofErr w:type="spellEnd"/>
            <w:r>
              <w:t xml:space="preserve"> проектор</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1</w:t>
            </w:r>
          </w:p>
        </w:tc>
      </w:tr>
      <w:tr w:rsidR="009946BB" w:rsidTr="00903EC7">
        <w:trPr>
          <w:tblCellSpacing w:w="5" w:type="nil"/>
        </w:trPr>
        <w:tc>
          <w:tcPr>
            <w:tcW w:w="6297"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pPr>
            <w: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9946BB" w:rsidRDefault="009946BB" w:rsidP="00903EC7">
            <w:pPr>
              <w:pStyle w:val="ConsPlusNormal"/>
              <w:ind w:right="-1"/>
              <w:jc w:val="center"/>
            </w:pPr>
            <w:r>
              <w:t>1</w:t>
            </w:r>
          </w:p>
        </w:tc>
      </w:tr>
    </w:tbl>
    <w:p w:rsidR="009946BB" w:rsidRDefault="009946BB" w:rsidP="009946BB">
      <w:pPr>
        <w:pStyle w:val="ConsPlusNormal"/>
        <w:ind w:right="-1" w:firstLine="540"/>
        <w:jc w:val="both"/>
      </w:pPr>
    </w:p>
    <w:p w:rsidR="009946BB" w:rsidRDefault="009946BB" w:rsidP="009946BB">
      <w:pPr>
        <w:pStyle w:val="ConsPlusNormal"/>
        <w:ind w:right="-1" w:firstLine="540"/>
        <w:jc w:val="both"/>
      </w:pPr>
      <w:r>
        <w:t>--------------------------------</w:t>
      </w:r>
    </w:p>
    <w:p w:rsidR="009946BB" w:rsidRDefault="009946BB" w:rsidP="009946BB">
      <w:pPr>
        <w:pStyle w:val="ConsPlusNormal"/>
        <w:ind w:right="-1"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9946BB" w:rsidRDefault="009946BB" w:rsidP="009946BB">
      <w:pPr>
        <w:pStyle w:val="ConsPlusNormal"/>
        <w:ind w:right="-1" w:firstLine="540"/>
        <w:jc w:val="both"/>
      </w:pPr>
    </w:p>
    <w:p w:rsidR="009946BB" w:rsidRDefault="009946BB" w:rsidP="009946BB">
      <w:pPr>
        <w:pStyle w:val="ConsPlusNormal"/>
        <w:ind w:right="-1" w:firstLine="540"/>
        <w:jc w:val="both"/>
      </w:pPr>
      <w:r w:rsidRPr="006817AE">
        <w:rPr>
          <w:b/>
          <w:color w:val="FF0000"/>
        </w:rPr>
        <w:t xml:space="preserve">Участки закрытой площадки </w:t>
      </w:r>
      <w:r>
        <w:t xml:space="preserve">для первоначального обучения вождению транспортных средств, используемые для выполнения учебных (контрольных) заданий, предусмотренных Программой, имеют ровное и однородное цементобетонное покрытие, обеспечивающее круглогодичное функционирование. Закрытая площадка имеет установленное по периметру </w:t>
      </w:r>
      <w:r w:rsidRPr="006817AE">
        <w:rPr>
          <w:b/>
        </w:rPr>
        <w:t>ограждение</w:t>
      </w:r>
      <w:r>
        <w:t>,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9946BB" w:rsidRDefault="009946BB" w:rsidP="009946BB">
      <w:pPr>
        <w:pStyle w:val="ConsPlusNormal"/>
        <w:ind w:right="-1" w:firstLine="540"/>
        <w:jc w:val="both"/>
      </w:pPr>
      <w:r>
        <w:t>Наклонный участок (эстакада) имеет продольный уклон относительно поверхности закрытой площадки или автодрома в пределах 16% включительно.</w:t>
      </w:r>
    </w:p>
    <w:p w:rsidR="009946BB" w:rsidRDefault="009946BB" w:rsidP="009946BB">
      <w:pPr>
        <w:pStyle w:val="ConsPlusNormal"/>
        <w:ind w:right="-1" w:firstLine="540"/>
        <w:jc w:val="both"/>
      </w:pPr>
      <w:r>
        <w:t xml:space="preserve">Размеры закрытой площадки или автодрома для первоначального обучения вождению транспортных средств составляют </w:t>
      </w:r>
      <w:r w:rsidRPr="006817AE">
        <w:rPr>
          <w:b/>
          <w:color w:val="FF0000"/>
        </w:rPr>
        <w:t>0,</w:t>
      </w:r>
      <w:r>
        <w:rPr>
          <w:b/>
          <w:color w:val="FF0000"/>
        </w:rPr>
        <w:t>46</w:t>
      </w:r>
      <w:r w:rsidRPr="006817AE">
        <w:rPr>
          <w:b/>
          <w:color w:val="FF0000"/>
        </w:rPr>
        <w:t xml:space="preserve"> га</w:t>
      </w:r>
      <w:r>
        <w:t>.</w:t>
      </w:r>
    </w:p>
    <w:p w:rsidR="009946BB" w:rsidRDefault="009946BB" w:rsidP="009946BB">
      <w:pPr>
        <w:pStyle w:val="ConsPlusNormal"/>
        <w:ind w:right="-1"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5" w:tooltip="&quot;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quot; (утв. Постановлением Госстандарта России от 11.10.1993" w:history="1">
        <w:r>
          <w:rPr>
            <w:color w:val="0000FF"/>
          </w:rPr>
          <w:t xml:space="preserve">ГОСТ </w:t>
        </w:r>
        <w:proofErr w:type="gramStart"/>
        <w:r>
          <w:rPr>
            <w:color w:val="0000FF"/>
          </w:rPr>
          <w:t>Р</w:t>
        </w:r>
        <w:proofErr w:type="gramEnd"/>
        <w:r>
          <w:rPr>
            <w:color w:val="0000FF"/>
          </w:rPr>
          <w:t xml:space="preserve">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9946BB" w:rsidRDefault="009946BB" w:rsidP="009946BB">
      <w:pPr>
        <w:pStyle w:val="ConsPlusNormal"/>
        <w:ind w:right="-1" w:firstLine="540"/>
        <w:jc w:val="both"/>
      </w:pPr>
      <w:r>
        <w:t>--------------------------------</w:t>
      </w:r>
    </w:p>
    <w:p w:rsidR="009946BB" w:rsidRDefault="009946BB" w:rsidP="009946BB">
      <w:pPr>
        <w:pStyle w:val="ConsPlusNormal"/>
        <w:ind w:right="-1" w:firstLine="540"/>
        <w:jc w:val="both"/>
      </w:pPr>
      <w:proofErr w:type="gramStart"/>
      <w:r>
        <w:t xml:space="preserve">&lt;1&gt; </w:t>
      </w:r>
      <w:hyperlink r:id="rId6" w:tooltip="Постановление Правительства РФ от 23.10.1993 N 1090 (ред. от 17.05.2014)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Постановление</w:t>
        </w:r>
      </w:hyperlink>
      <w: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9946BB" w:rsidRDefault="009946BB" w:rsidP="009946BB">
      <w:pPr>
        <w:pStyle w:val="ConsPlusNormal"/>
        <w:ind w:right="-1" w:firstLine="540"/>
        <w:jc w:val="both"/>
      </w:pPr>
    </w:p>
    <w:p w:rsidR="009946BB" w:rsidRDefault="009946BB" w:rsidP="009946BB">
      <w:pPr>
        <w:pStyle w:val="ConsPlusNormal"/>
        <w:ind w:right="-1"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9946BB" w:rsidRDefault="009946BB" w:rsidP="009946BB">
      <w:pPr>
        <w:pStyle w:val="ConsPlusNormal"/>
        <w:ind w:right="-1"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w:t>
      </w:r>
    </w:p>
    <w:p w:rsidR="009946BB" w:rsidRDefault="009946BB" w:rsidP="009946BB">
      <w:pPr>
        <w:pStyle w:val="ConsPlusNormal"/>
        <w:ind w:right="-1" w:firstLine="540"/>
        <w:jc w:val="both"/>
      </w:pPr>
      <w:r>
        <w:t>Продольный уклон закрытой площадки или автодрома (за исключением наклонного участка (эстакады)) должен быть не более 100%.</w:t>
      </w:r>
    </w:p>
    <w:p w:rsidR="009946BB" w:rsidRDefault="009946BB" w:rsidP="009946BB">
      <w:pPr>
        <w:pStyle w:val="ConsPlusNormal"/>
        <w:ind w:right="-1" w:firstLine="540"/>
        <w:jc w:val="both"/>
        <w:rPr>
          <w:b/>
        </w:rPr>
      </w:pPr>
    </w:p>
    <w:p w:rsidR="009946BB" w:rsidRPr="006817AE" w:rsidRDefault="009946BB" w:rsidP="009946BB">
      <w:pPr>
        <w:pStyle w:val="ConsPlusNormal"/>
        <w:ind w:right="-1" w:firstLine="540"/>
        <w:jc w:val="both"/>
        <w:rPr>
          <w:b/>
        </w:rPr>
      </w:pPr>
      <w:r w:rsidRPr="006817AE">
        <w:rPr>
          <w:b/>
        </w:rPr>
        <w:t>На автодроме оборудова</w:t>
      </w:r>
      <w:r>
        <w:rPr>
          <w:b/>
        </w:rPr>
        <w:t>н</w:t>
      </w:r>
      <w:r w:rsidRPr="006817AE">
        <w:rPr>
          <w:b/>
        </w:rPr>
        <w:t xml:space="preserve"> перекресток (нерегулируемый), пешеходный переход, </w:t>
      </w:r>
      <w:proofErr w:type="spellStart"/>
      <w:r w:rsidRPr="006817AE">
        <w:rPr>
          <w:b/>
        </w:rPr>
        <w:t>устанавл</w:t>
      </w:r>
      <w:r>
        <w:rPr>
          <w:b/>
        </w:rPr>
        <w:t>ены</w:t>
      </w:r>
      <w:proofErr w:type="spellEnd"/>
      <w:r w:rsidRPr="006817AE">
        <w:rPr>
          <w:b/>
        </w:rPr>
        <w:t xml:space="preserve"> дорожные знаки.</w:t>
      </w:r>
    </w:p>
    <w:p w:rsidR="009946BB" w:rsidRDefault="009946BB" w:rsidP="009946BB">
      <w:pPr>
        <w:pStyle w:val="ConsPlusNormal"/>
        <w:ind w:right="-1" w:firstLine="540"/>
        <w:jc w:val="both"/>
      </w:pPr>
      <w:r>
        <w:t xml:space="preserve">Автодром, кроме того, оборудован средствами организации дорожного движения в соответствии с требованиями </w:t>
      </w:r>
      <w:hyperlink r:id="rId7"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09.12.201" w:history="1">
        <w:r>
          <w:rPr>
            <w:color w:val="0000FF"/>
          </w:rPr>
          <w:t xml:space="preserve">ГОСТ </w:t>
        </w:r>
        <w:proofErr w:type="gramStart"/>
        <w:r>
          <w:rPr>
            <w:color w:val="0000FF"/>
          </w:rPr>
          <w:t>Р</w:t>
        </w:r>
        <w:proofErr w:type="gramEnd"/>
        <w:r>
          <w:rPr>
            <w:color w:val="0000FF"/>
          </w:rPr>
          <w:t xml:space="preserve"> 52290-2004</w:t>
        </w:r>
      </w:hyperlink>
      <w:r>
        <w:t xml:space="preserve"> "Технические средства организации дорожного движения. Знаки дорожные. Общие технические требования" (далее - ГОСТ </w:t>
      </w:r>
      <w:proofErr w:type="gramStart"/>
      <w:r>
        <w:t>Р</w:t>
      </w:r>
      <w:proofErr w:type="gramEnd"/>
      <w:r>
        <w:t xml:space="preserve"> 52290-2004), </w:t>
      </w:r>
      <w:hyperlink r:id="rId8" w:tooltip="Ссылка на КонсультантПлюс" w:history="1">
        <w:r>
          <w:rPr>
            <w:color w:val="0000FF"/>
          </w:rPr>
          <w:t xml:space="preserve">ГОСТ </w:t>
        </w:r>
        <w:r>
          <w:rPr>
            <w:color w:val="0000FF"/>
          </w:rPr>
          <w:lastRenderedPageBreak/>
          <w:t>Р 51256-2011</w:t>
        </w:r>
      </w:hyperlink>
      <w:r>
        <w:t xml:space="preserve"> "Технические средства организации дорожного движения. Разметка дорожная. Классификация. Технические требования", ГОСТ </w:t>
      </w:r>
      <w:proofErr w:type="gramStart"/>
      <w:r>
        <w:t>Р</w:t>
      </w:r>
      <w:proofErr w:type="gramEnd"/>
      <w: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t>Р</w:t>
      </w:r>
      <w:proofErr w:type="gramEnd"/>
      <w: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9"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09.12.201" w:history="1">
        <w:r>
          <w:rPr>
            <w:color w:val="0000FF"/>
          </w:rPr>
          <w:t xml:space="preserve">ГОСТ </w:t>
        </w:r>
        <w:proofErr w:type="gramStart"/>
        <w:r>
          <w:rPr>
            <w:color w:val="0000FF"/>
          </w:rPr>
          <w:t>Р</w:t>
        </w:r>
        <w:proofErr w:type="gramEnd"/>
        <w:r>
          <w:rPr>
            <w:color w:val="0000FF"/>
          </w:rPr>
          <w:t xml:space="preserve"> 52290-2004</w:t>
        </w:r>
      </w:hyperlink>
      <w:r>
        <w:t>, светофоров типа Т.1 по ГОСТ Р 52282-2004 и уменьшение норм установки дорожных знаков, светофоров &lt;1&gt;.</w:t>
      </w:r>
    </w:p>
    <w:p w:rsidR="009946BB" w:rsidRDefault="009946BB" w:rsidP="009946BB">
      <w:pPr>
        <w:pStyle w:val="ConsPlusNormal"/>
        <w:ind w:right="-1" w:firstLine="540"/>
        <w:jc w:val="both"/>
      </w:pPr>
      <w:r>
        <w:t>--------------------------------</w:t>
      </w:r>
    </w:p>
    <w:p w:rsidR="009946BB" w:rsidRDefault="009946BB" w:rsidP="009946BB">
      <w:pPr>
        <w:pStyle w:val="ConsPlusNormal"/>
        <w:ind w:right="-1" w:firstLine="540"/>
        <w:jc w:val="both"/>
      </w:pPr>
      <w:proofErr w:type="gramStart"/>
      <w:r>
        <w:t xml:space="preserve">&lt;1&gt; </w:t>
      </w:r>
      <w:hyperlink r:id="rId10" w:tooltip="Постановление Правительства РФ от 23.10.1993 N 1090 (ред. от 17.05.2014)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Постановление</w:t>
        </w:r>
      </w:hyperlink>
      <w: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5635FA" w:rsidRDefault="00C63666"/>
    <w:sectPr w:rsidR="005635FA" w:rsidSect="002970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9946BB"/>
    <w:rsid w:val="000B3572"/>
    <w:rsid w:val="000C44FB"/>
    <w:rsid w:val="00130413"/>
    <w:rsid w:val="00141062"/>
    <w:rsid w:val="0026180E"/>
    <w:rsid w:val="002970BE"/>
    <w:rsid w:val="002E684B"/>
    <w:rsid w:val="003577BC"/>
    <w:rsid w:val="00360B3A"/>
    <w:rsid w:val="00484C30"/>
    <w:rsid w:val="004A00AB"/>
    <w:rsid w:val="004F29EE"/>
    <w:rsid w:val="006A2F38"/>
    <w:rsid w:val="006D69B6"/>
    <w:rsid w:val="007F5005"/>
    <w:rsid w:val="00810BC4"/>
    <w:rsid w:val="008D253E"/>
    <w:rsid w:val="009660DB"/>
    <w:rsid w:val="009946BB"/>
    <w:rsid w:val="009A14CF"/>
    <w:rsid w:val="00A55342"/>
    <w:rsid w:val="00A8345B"/>
    <w:rsid w:val="00BF3F5A"/>
    <w:rsid w:val="00C63666"/>
    <w:rsid w:val="00C875B2"/>
    <w:rsid w:val="00CB7F0A"/>
    <w:rsid w:val="00D8066B"/>
    <w:rsid w:val="00DD60FE"/>
    <w:rsid w:val="00E376D0"/>
    <w:rsid w:val="00EA2E83"/>
    <w:rsid w:val="00FF5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946B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39F7E1D3C5AAFF14768F6EEA2AE2F4875E4F2D54686019CCA7970K6Z8H" TargetMode="External"/><Relationship Id="rId3" Type="http://schemas.openxmlformats.org/officeDocument/2006/relationships/webSettings" Target="webSettings.xml"/><Relationship Id="rId7" Type="http://schemas.openxmlformats.org/officeDocument/2006/relationships/hyperlink" Target="consultantplus://offline/ref=A6939F7E1D3C5AAFF14777E3EBA2AE2F4874E2F4D74CDB0B949375726FK6Z0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939F7E1D3C5AAFF14777E3EBA2AE2F4874E2F7D04DDB0B949375726FK6Z0H" TargetMode="External"/><Relationship Id="rId11" Type="http://schemas.openxmlformats.org/officeDocument/2006/relationships/fontTable" Target="fontTable.xml"/><Relationship Id="rId5" Type="http://schemas.openxmlformats.org/officeDocument/2006/relationships/hyperlink" Target="consultantplus://offline/ref=A6939F7E1D3C5AAFF14777E3EBA2AE2F4871E4FDD048DB0B949375726FK6Z0H" TargetMode="External"/><Relationship Id="rId10" Type="http://schemas.openxmlformats.org/officeDocument/2006/relationships/hyperlink" Target="consultantplus://offline/ref=A6939F7E1D3C5AAFF14777E3EBA2AE2F4874E2F7D04DDB0B949375726FK6Z0H" TargetMode="External"/><Relationship Id="rId4" Type="http://schemas.openxmlformats.org/officeDocument/2006/relationships/hyperlink" Target="consultantplus://offline/ref=A6939F7E1D3C5AAFF14777E3EBA2AE2F4874E2F7D04DDB0B949375726F60373CD80FFF0CB6EBC901K7ZAH" TargetMode="External"/><Relationship Id="rId9" Type="http://schemas.openxmlformats.org/officeDocument/2006/relationships/hyperlink" Target="consultantplus://offline/ref=A6939F7E1D3C5AAFF14777E3EBA2AE2F4874E2F4D74CDB0B949375726FK6Z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2456</Words>
  <Characters>14002</Characters>
  <Application>Microsoft Office Word</Application>
  <DocSecurity>0</DocSecurity>
  <Lines>116</Lines>
  <Paragraphs>32</Paragraphs>
  <ScaleCrop>false</ScaleCrop>
  <Company/>
  <LinksUpToDate>false</LinksUpToDate>
  <CharactersWithSpaces>16426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Валериевна</dc:creator>
  <cp:lastModifiedBy>Елена Валериевна</cp:lastModifiedBy>
  <cp:revision>2</cp:revision>
  <dcterms:created xsi:type="dcterms:W3CDTF">2014-10-15T13:25:00Z</dcterms:created>
  <dcterms:modified xsi:type="dcterms:W3CDTF">2014-10-15T13:27:00Z</dcterms:modified>
</cp:coreProperties>
</file>